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1"/>
        <w:gridCol w:w="929"/>
        <w:gridCol w:w="162"/>
        <w:gridCol w:w="712"/>
        <w:gridCol w:w="62"/>
        <w:gridCol w:w="1053"/>
        <w:gridCol w:w="360"/>
        <w:gridCol w:w="1474"/>
        <w:gridCol w:w="1449"/>
        <w:gridCol w:w="510"/>
        <w:gridCol w:w="2494"/>
        <w:gridCol w:w="164"/>
        <w:gridCol w:w="1800"/>
        <w:gridCol w:w="717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7.23.1 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近五年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MPA研究生及毕业生研究成果汇总表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41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填表时间：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研究课题名称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发表或表彰时间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发表刊物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获奖称号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公共管理硕士专业学位</w:t>
            </w:r>
            <w:r>
              <w:rPr>
                <w:rFonts w:hint="eastAsia"/>
                <w:color w:val="000000"/>
                <w:kern w:val="0"/>
                <w:sz w:val="22"/>
              </w:rPr>
              <w:t>合格评估</w:t>
            </w:r>
            <w:r>
              <w:rPr>
                <w:color w:val="000000"/>
                <w:kern w:val="0"/>
                <w:sz w:val="22"/>
              </w:rPr>
              <w:t>方案附表31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1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7.23.2 MPA优秀毕业生情况汇总表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41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填表时间：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升职情况或获奖情况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升职或获奖时间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240" w:lineRule="exact"/>
        <w:jc w:val="left"/>
        <w:rPr>
          <w:rFonts w:eastAsia="仿宋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46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MPA徐</cp:lastModifiedBy>
  <dcterms:modified xsi:type="dcterms:W3CDTF">2018-05-03T10:30:52Z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